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C6A7" w14:textId="77777777" w:rsidR="00153D45" w:rsidRPr="00153D45" w:rsidRDefault="00153D45" w:rsidP="00153D45">
      <w:pPr>
        <w:keepNext/>
        <w:pageBreakBefore/>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153D45">
        <w:rPr>
          <w:rFonts w:ascii="Aptos" w:eastAsia="Aptos" w:hAnsi="Aptos" w:cs="Times New Roman"/>
          <w:b/>
          <w:caps/>
          <w:kern w:val="0"/>
          <w:sz w:val="40"/>
          <w14:ligatures w14:val="none"/>
        </w:rPr>
        <w:t>Schedule C - Insurance requirements</w:t>
      </w:r>
    </w:p>
    <w:p w14:paraId="5135CF68" w14:textId="315F156A" w:rsidR="00153D45" w:rsidRPr="00153D45" w:rsidRDefault="00153D45" w:rsidP="00153D45">
      <w:pPr>
        <w:spacing w:after="0"/>
        <w:jc w:val="center"/>
        <w:rPr>
          <w:rFonts w:ascii="Aptos" w:eastAsia="Aptos" w:hAnsi="Aptos" w:cs="Aptos"/>
        </w:rPr>
      </w:pPr>
      <w:r w:rsidRPr="00153D45">
        <w:rPr>
          <w:rFonts w:ascii="Aptos" w:eastAsia="Aptos" w:hAnsi="Aptos" w:cs="Aptos"/>
          <w:b/>
          <w:bCs/>
        </w:rPr>
        <w:t>Request For Proposal No</w:t>
      </w:r>
      <w:r w:rsidRPr="00153D45">
        <w:rPr>
          <w:rFonts w:ascii="Aptos" w:eastAsia="Aptos" w:hAnsi="Aptos" w:cs="Aptos"/>
        </w:rPr>
        <w:t xml:space="preserve">. </w:t>
      </w:r>
      <w:r w:rsidRPr="001850D9">
        <w:rPr>
          <w:rFonts w:ascii="Aptos" w:eastAsia="Aptos" w:hAnsi="Aptos" w:cs="Aptos"/>
          <w:b/>
          <w:bCs/>
        </w:rPr>
        <w:t>26000000</w:t>
      </w:r>
      <w:r w:rsidR="001850D9" w:rsidRPr="001850D9">
        <w:rPr>
          <w:rFonts w:ascii="Aptos" w:eastAsia="Aptos" w:hAnsi="Aptos" w:cs="Aptos"/>
          <w:b/>
          <w:bCs/>
        </w:rPr>
        <w:t>1381</w:t>
      </w:r>
    </w:p>
    <w:p w14:paraId="1862A159" w14:textId="77777777" w:rsidR="00153D45" w:rsidRPr="00153D45" w:rsidRDefault="00153D45" w:rsidP="00153D45">
      <w:pPr>
        <w:spacing w:before="120" w:after="240" w:line="240" w:lineRule="auto"/>
        <w:jc w:val="center"/>
        <w:rPr>
          <w:rFonts w:ascii="Aptos" w:eastAsia="Aptos" w:hAnsi="Aptos" w:cs="Aptos"/>
        </w:rPr>
      </w:pPr>
      <w:r w:rsidRPr="00153D45">
        <w:rPr>
          <w:rFonts w:ascii="Aptos" w:eastAsia="Aptos" w:hAnsi="Aptos" w:cs="Aptos"/>
        </w:rPr>
        <w:t>Drug Screening &amp; Confirmation Testing for MDHHS Children’s Services Administration</w:t>
      </w:r>
    </w:p>
    <w:sdt>
      <w:sdtPr>
        <w:rPr>
          <w:rFonts w:ascii="Aptos" w:eastAsia="Aptos" w:hAnsi="Aptos" w:cs="Times New Roman"/>
        </w:rPr>
        <w:id w:val="1797021562"/>
        <w:placeholder>
          <w:docPart w:val="758529FE89F74F4893C5E695403ED4EA"/>
        </w:placeholder>
        <w15:appearance w15:val="hidden"/>
      </w:sdtPr>
      <w:sdtEndPr/>
      <w:sdtContent>
        <w:p w14:paraId="1AD4A1A2" w14:textId="77777777" w:rsidR="00153D45" w:rsidRPr="00153D45" w:rsidRDefault="00153D45" w:rsidP="00153D45">
          <w:pPr>
            <w:numPr>
              <w:ilvl w:val="0"/>
              <w:numId w:val="3"/>
            </w:numPr>
            <w:spacing w:before="120" w:after="120" w:line="300" w:lineRule="atLeast"/>
            <w:ind w:left="360"/>
            <w:rPr>
              <w:rFonts w:ascii="Aptos" w:eastAsia="Aptos" w:hAnsi="Aptos" w:cs="Calibri"/>
            </w:rPr>
          </w:pPr>
          <w:r w:rsidRPr="00153D45">
            <w:rPr>
              <w:rFonts w:ascii="Aptos" w:eastAsia="Aptos" w:hAnsi="Aptos" w:cs="Calibri"/>
              <w:bCs/>
            </w:rPr>
            <w:t xml:space="preserve">General Requirements. </w:t>
          </w:r>
          <w:r w:rsidRPr="00153D45">
            <w:rPr>
              <w:rFonts w:ascii="Aptos" w:eastAsia="Aptos" w:hAnsi="Aptos" w:cs="Calibri"/>
            </w:rPr>
            <w:t>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6A499692"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 xml:space="preserve">Qualification of Insurers. </w:t>
          </w:r>
          <w:r w:rsidRPr="00153D45">
            <w:rPr>
              <w:rFonts w:ascii="Aptos" w:eastAsia="Arial" w:hAnsi="Aptos" w:cs="Calibri"/>
              <w:kern w:val="0"/>
              <w14:ligatures w14:val="none"/>
            </w:rPr>
            <w:t>Except for self-insured coverage, all policies must be written by an insurer with an A.M. Best rating of A- VII or higher unless otherwise approved by DTMB Enterprise Risk Management.</w:t>
          </w:r>
          <w:r w:rsidRPr="00153D45">
            <w:rPr>
              <w:rFonts w:ascii="Aptos" w:eastAsia="Arial" w:hAnsi="Aptos" w:cs="Calibri"/>
              <w:b/>
              <w:bCs/>
              <w:kern w:val="0"/>
              <w14:ligatures w14:val="none"/>
            </w:rPr>
            <w:t xml:space="preserve"> </w:t>
          </w:r>
        </w:p>
        <w:p w14:paraId="24224D43"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 xml:space="preserve">Primary and Non-Contributory Coverage. </w:t>
          </w:r>
          <w:r w:rsidRPr="00153D45">
            <w:rPr>
              <w:rFonts w:ascii="Aptos" w:eastAsia="Arial" w:hAnsi="Aptos" w:cs="Calibri"/>
              <w:kern w:val="0"/>
              <w14:ligatures w14:val="none"/>
            </w:rPr>
            <w:t>All policies for which the State of Michigan is required to be named as an additional insured must be on a primary and non-contributory basis.</w:t>
          </w:r>
          <w:r w:rsidRPr="00153D45">
            <w:rPr>
              <w:rFonts w:ascii="Aptos" w:eastAsia="Arial" w:hAnsi="Aptos" w:cs="Calibri"/>
              <w:b/>
              <w:bCs/>
              <w:kern w:val="0"/>
              <w14:ligatures w14:val="none"/>
            </w:rPr>
            <w:t xml:space="preserve"> </w:t>
          </w:r>
        </w:p>
        <w:p w14:paraId="52FABE3C"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 xml:space="preserve">Claims-Made Coverage. </w:t>
          </w:r>
          <w:r w:rsidRPr="00153D45">
            <w:rPr>
              <w:rFonts w:ascii="Aptos" w:eastAsia="Arial" w:hAnsi="Aptos" w:cs="Calibri"/>
              <w:kern w:val="0"/>
              <w14:ligatures w14:val="none"/>
            </w:rPr>
            <w:t>If any required policies provide claims-made coverage, Contractor must:</w:t>
          </w:r>
        </w:p>
        <w:p w14:paraId="7860D4CB" w14:textId="77777777" w:rsidR="00153D45" w:rsidRPr="00153D45" w:rsidRDefault="00153D45" w:rsidP="00153D45">
          <w:pPr>
            <w:numPr>
              <w:ilvl w:val="1"/>
              <w:numId w:val="3"/>
            </w:numPr>
            <w:spacing w:before="120" w:after="120" w:line="300" w:lineRule="atLeast"/>
            <w:ind w:left="720"/>
            <w:rPr>
              <w:rFonts w:ascii="Aptos" w:eastAsia="Arial" w:hAnsi="Aptos" w:cs="Calibri"/>
              <w:b/>
              <w:bCs/>
              <w:kern w:val="0"/>
              <w14:ligatures w14:val="none"/>
            </w:rPr>
          </w:pPr>
          <w:r w:rsidRPr="00153D45">
            <w:rPr>
              <w:rFonts w:ascii="Aptos" w:eastAsia="Arial" w:hAnsi="Aptos" w:cs="Calibri"/>
              <w:kern w:val="0"/>
              <w14:ligatures w14:val="none"/>
            </w:rPr>
            <w:t xml:space="preserve">Maintain coverage and provide evidence of coverage for at least 3 years after the later of the expiration or termination of the Contract or the completion of all its duties under the </w:t>
          </w:r>
          <w:proofErr w:type="gramStart"/>
          <w:r w:rsidRPr="00153D45">
            <w:rPr>
              <w:rFonts w:ascii="Aptos" w:eastAsia="Arial" w:hAnsi="Aptos" w:cs="Calibri"/>
              <w:kern w:val="0"/>
              <w14:ligatures w14:val="none"/>
            </w:rPr>
            <w:t>Contract;</w:t>
          </w:r>
          <w:proofErr w:type="gramEnd"/>
        </w:p>
        <w:p w14:paraId="35D05726" w14:textId="77777777" w:rsidR="00153D45" w:rsidRPr="00153D45" w:rsidRDefault="00153D45" w:rsidP="00153D45">
          <w:pPr>
            <w:numPr>
              <w:ilvl w:val="1"/>
              <w:numId w:val="3"/>
            </w:numPr>
            <w:spacing w:before="120" w:after="120" w:line="300" w:lineRule="atLeast"/>
            <w:ind w:left="720"/>
            <w:rPr>
              <w:rFonts w:ascii="Aptos" w:eastAsia="Arial" w:hAnsi="Aptos" w:cs="Calibri"/>
              <w:b/>
              <w:bCs/>
              <w:kern w:val="0"/>
              <w14:ligatures w14:val="none"/>
            </w:rPr>
          </w:pPr>
          <w:r w:rsidRPr="00153D45">
            <w:rPr>
              <w:rFonts w:ascii="Aptos" w:eastAsia="Arial" w:hAnsi="Aptos" w:cs="Calibri"/>
              <w:kern w:val="0"/>
              <w14:ligatures w14:val="none"/>
            </w:rPr>
            <w:t xml:space="preserve">Purchase extended reporting coverage for a minimum of 3 years after completion of work if coverage is cancelled or not </w:t>
          </w:r>
          <w:proofErr w:type="gramStart"/>
          <w:r w:rsidRPr="00153D45">
            <w:rPr>
              <w:rFonts w:ascii="Aptos" w:eastAsia="Arial" w:hAnsi="Aptos" w:cs="Calibri"/>
              <w:kern w:val="0"/>
              <w14:ligatures w14:val="none"/>
            </w:rPr>
            <w:t>renewed, and</w:t>
          </w:r>
          <w:proofErr w:type="gramEnd"/>
          <w:r w:rsidRPr="00153D45">
            <w:rPr>
              <w:rFonts w:ascii="Aptos" w:eastAsia="Arial" w:hAnsi="Aptos" w:cs="Calibri"/>
              <w:kern w:val="0"/>
              <w14:ligatures w14:val="none"/>
            </w:rPr>
            <w:t xml:space="preserve"> not replaced with another claims-made policy form with a retroactive date prior to the Effective Date of this Contract.</w:t>
          </w:r>
        </w:p>
        <w:p w14:paraId="14AC19C2"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Proof of Insurance.</w:t>
          </w:r>
        </w:p>
        <w:p w14:paraId="2964EFDC"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r w:rsidRPr="00153D45">
            <w:rPr>
              <w:rFonts w:ascii="Aptos" w:eastAsia="Arial" w:hAnsi="Aptos" w:cs="Calibri"/>
              <w:kern w:val="0"/>
              <w14:ligatures w14:val="none"/>
            </w:rPr>
            <w:t xml:space="preserve">Insurance certificates showing evidence of coverage as required herein must be submitted to </w:t>
          </w:r>
          <w:hyperlink r:id="rId7" w:history="1">
            <w:r w:rsidRPr="00153D45">
              <w:rPr>
                <w:rFonts w:ascii="Aptos" w:eastAsia="Arial" w:hAnsi="Aptos" w:cs="Calibri"/>
                <w:color w:val="467886"/>
                <w:kern w:val="0"/>
                <w:u w:val="single"/>
                <w14:ligatures w14:val="none"/>
              </w:rPr>
              <w:t>DTMB-RiskManagement@michigan.gov</w:t>
            </w:r>
          </w:hyperlink>
          <w:r w:rsidRPr="00153D45">
            <w:rPr>
              <w:rFonts w:ascii="Aptos" w:eastAsia="Arial" w:hAnsi="Aptos" w:cs="Calibri"/>
              <w:kern w:val="0"/>
              <w14:ligatures w14:val="none"/>
            </w:rPr>
            <w:t xml:space="preserve"> within 10 days of the contract execution date.</w:t>
          </w:r>
        </w:p>
        <w:p w14:paraId="2052903C"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r w:rsidRPr="00153D45">
            <w:rPr>
              <w:rFonts w:ascii="Aptos" w:eastAsia="Arial" w:hAnsi="Aptos" w:cs="Calibri"/>
              <w:kern w:val="0"/>
              <w14:ligatures w14:val="none"/>
            </w:rPr>
            <w:t xml:space="preserve">Renewal insurance certificates must be provided on annual basis or as otherwise commensurate with the effective dates of coverage for any insurance required herein. </w:t>
          </w:r>
        </w:p>
        <w:p w14:paraId="1A7401F3"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r w:rsidRPr="00153D45">
            <w:rPr>
              <w:rFonts w:ascii="Aptos" w:eastAsia="Arial" w:hAnsi="Aptos" w:cs="Calibri"/>
              <w:kern w:val="0"/>
              <w14:ligatures w14:val="none"/>
            </w:rPr>
            <w:t>Insurance certificates must be in the form of a standard ACORD Insurance Certificate unless otherwise approved by DTMB Enterprise Risk Management.</w:t>
          </w:r>
        </w:p>
        <w:p w14:paraId="6F7B8AEF"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r w:rsidRPr="00153D45">
            <w:rPr>
              <w:rFonts w:ascii="Aptos" w:eastAsia="Arial" w:hAnsi="Aptos" w:cs="Calibri"/>
              <w:kern w:val="0"/>
              <w14:ligatures w14:val="none"/>
            </w:rPr>
            <w:t xml:space="preserve">All insurance certificates must clearly identify the Contract Number (e.g., notated under the Description of Operations on an ACORD form). </w:t>
          </w:r>
        </w:p>
        <w:p w14:paraId="718DF3D9"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bookmarkStart w:id="0" w:name="_Hlk158194696"/>
          <w:bookmarkStart w:id="1" w:name="_Hlk158194552"/>
          <w:r w:rsidRPr="00153D45">
            <w:rPr>
              <w:rFonts w:ascii="Aptos" w:eastAsia="Arial" w:hAnsi="Aptos" w:cs="Calibri"/>
              <w:kern w:val="0"/>
              <w14:ligatures w14:val="none"/>
            </w:rPr>
            <w:lastRenderedPageBreak/>
            <w:t>The State may require additional proofs of insurance or solvency, including but not limited to policy declarations, policy endorsements, policy schedules, self-insured certification or authorization, and audited financial statements.</w:t>
          </w:r>
          <w:bookmarkEnd w:id="0"/>
        </w:p>
        <w:bookmarkEnd w:id="1"/>
        <w:p w14:paraId="6DD0C3F1" w14:textId="77777777" w:rsidR="00153D45" w:rsidRPr="00153D45" w:rsidRDefault="00153D45" w:rsidP="00153D45">
          <w:pPr>
            <w:numPr>
              <w:ilvl w:val="1"/>
              <w:numId w:val="3"/>
            </w:numPr>
            <w:spacing w:before="120" w:after="120" w:line="300" w:lineRule="atLeast"/>
            <w:ind w:left="720"/>
            <w:rPr>
              <w:rFonts w:ascii="Aptos" w:eastAsia="Arial" w:hAnsi="Aptos" w:cs="Calibri"/>
              <w:kern w:val="0"/>
              <w14:ligatures w14:val="none"/>
            </w:rPr>
          </w:pPr>
          <w:r w:rsidRPr="00153D45">
            <w:rPr>
              <w:rFonts w:ascii="Aptos" w:eastAsia="Arial" w:hAnsi="Aptos" w:cs="Calibri"/>
              <w:kern w:val="0"/>
              <w14:ligatures w14:val="none"/>
            </w:rPr>
            <w:t>In the event any required coverage is cancelled or not renewed, Contractor must provide written notice to DTMB Enterprise Risk Management no later than 5 business days following such cancellation or nonrenewal.</w:t>
          </w:r>
        </w:p>
        <w:p w14:paraId="7CF9D4FB"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 xml:space="preserve">Subcontractors. </w:t>
          </w:r>
          <w:bookmarkStart w:id="2" w:name="_Hlk158194607"/>
          <w:r w:rsidRPr="00153D45">
            <w:rPr>
              <w:rFonts w:ascii="Aptos" w:eastAsia="Arial" w:hAnsi="Aptos" w:cs="Calibri"/>
              <w:kern w:val="0"/>
              <w14:ligatures w14:val="none"/>
            </w:rPr>
            <w:t>Contractor is responsible for ensuring its subcontractors, if any, carry and maintain insurance coverage as applicable to the subcontracted service(s).</w:t>
          </w:r>
          <w:bookmarkEnd w:id="2"/>
        </w:p>
        <w:p w14:paraId="176C98B2" w14:textId="77777777" w:rsidR="00153D45" w:rsidRPr="00153D45" w:rsidRDefault="00153D45" w:rsidP="00153D45">
          <w:pPr>
            <w:numPr>
              <w:ilvl w:val="0"/>
              <w:numId w:val="3"/>
            </w:numPr>
            <w:spacing w:before="120" w:after="120" w:line="300" w:lineRule="atLeast"/>
            <w:rPr>
              <w:rFonts w:ascii="Aptos" w:eastAsia="Arial" w:hAnsi="Aptos" w:cs="Calibri"/>
              <w:b/>
              <w:bCs/>
              <w:kern w:val="0"/>
              <w14:ligatures w14:val="none"/>
            </w:rPr>
          </w:pPr>
          <w:r w:rsidRPr="00153D45">
            <w:rPr>
              <w:rFonts w:ascii="Aptos" w:eastAsia="Arial" w:hAnsi="Aptos" w:cs="Calibri"/>
              <w:b/>
              <w:bCs/>
              <w:kern w:val="0"/>
              <w14:ligatures w14:val="none"/>
            </w:rPr>
            <w:t>Limits of Coverage &amp; Specific Endorsements.</w:t>
          </w:r>
        </w:p>
        <w:tbl>
          <w:tblPr>
            <w:tblStyle w:val="ListTable32"/>
            <w:tblW w:w="10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135"/>
          </w:tblGrid>
          <w:tr w:rsidR="00153D45" w:rsidRPr="00153D45" w14:paraId="41ACCCE7" w14:textId="77777777" w:rsidTr="007F39C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945" w:type="dxa"/>
                <w:tcBorders>
                  <w:top w:val="single" w:sz="4" w:space="0" w:color="auto"/>
                  <w:left w:val="single" w:sz="4" w:space="0" w:color="auto"/>
                  <w:bottom w:val="single" w:sz="4" w:space="0" w:color="auto"/>
                </w:tcBorders>
                <w:shd w:val="clear" w:color="auto" w:fill="0067AC"/>
                <w:hideMark/>
              </w:tcPr>
              <w:p w14:paraId="3C2AB3B7" w14:textId="77777777" w:rsidR="00153D45" w:rsidRPr="00153D45" w:rsidRDefault="00153D45" w:rsidP="00153D45">
                <w:pPr>
                  <w:spacing w:before="60" w:after="60"/>
                  <w:jc w:val="center"/>
                  <w:rPr>
                    <w:rFonts w:ascii="Aptos" w:eastAsia="Arial" w:hAnsi="Aptos" w:cs="Calibri"/>
                  </w:rPr>
                </w:pPr>
                <w:r w:rsidRPr="00153D45">
                  <w:rPr>
                    <w:rFonts w:ascii="Aptos" w:eastAsia="Arial" w:hAnsi="Aptos" w:cs="Calibri"/>
                  </w:rPr>
                  <w:t>Required Limits</w:t>
                </w:r>
              </w:p>
            </w:tc>
            <w:tc>
              <w:tcPr>
                <w:tcW w:w="5135" w:type="dxa"/>
                <w:tcBorders>
                  <w:top w:val="single" w:sz="4" w:space="0" w:color="auto"/>
                  <w:left w:val="single" w:sz="4" w:space="0" w:color="auto"/>
                  <w:bottom w:val="single" w:sz="4" w:space="0" w:color="auto"/>
                  <w:right w:val="single" w:sz="4" w:space="0" w:color="auto"/>
                </w:tcBorders>
                <w:shd w:val="clear" w:color="auto" w:fill="0067AC"/>
                <w:hideMark/>
              </w:tcPr>
              <w:p w14:paraId="4D3D3F28" w14:textId="77777777" w:rsidR="00153D45" w:rsidRPr="00153D45" w:rsidRDefault="00153D45" w:rsidP="00153D45">
                <w:pPr>
                  <w:spacing w:before="60" w:after="60"/>
                  <w:jc w:val="center"/>
                  <w:cnfStyle w:val="100000000000" w:firstRow="1" w:lastRow="0" w:firstColumn="0" w:lastColumn="0" w:oddVBand="0" w:evenVBand="0" w:oddHBand="0" w:evenHBand="0" w:firstRowFirstColumn="0" w:firstRowLastColumn="0" w:lastRowFirstColumn="0" w:lastRowLastColumn="0"/>
                  <w:rPr>
                    <w:rFonts w:ascii="Aptos" w:eastAsia="Arial" w:hAnsi="Aptos" w:cs="Calibri"/>
                  </w:rPr>
                </w:pPr>
                <w:r w:rsidRPr="00153D45">
                  <w:rPr>
                    <w:rFonts w:ascii="Aptos" w:eastAsia="Arial" w:hAnsi="Aptos" w:cs="Calibri"/>
                  </w:rPr>
                  <w:t>Additional Requirements</w:t>
                </w:r>
              </w:p>
            </w:tc>
          </w:tr>
          <w:tr w:rsidR="00153D45" w:rsidRPr="00153D45" w14:paraId="600697E1" w14:textId="77777777" w:rsidTr="007F39C8">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vAlign w:val="center"/>
                <w:hideMark/>
              </w:tcPr>
              <w:p w14:paraId="1D3D9EEC" w14:textId="77777777" w:rsidR="00153D45" w:rsidRPr="00153D45" w:rsidRDefault="00153D45" w:rsidP="00153D45">
                <w:pPr>
                  <w:spacing w:before="60" w:after="60"/>
                  <w:jc w:val="center"/>
                  <w:rPr>
                    <w:rFonts w:ascii="Aptos" w:eastAsia="Arial" w:hAnsi="Aptos" w:cs="Calibri"/>
                  </w:rPr>
                </w:pPr>
                <w:r w:rsidRPr="00153D45">
                  <w:rPr>
                    <w:rFonts w:ascii="Aptos" w:eastAsia="Arial" w:hAnsi="Aptos" w:cs="Calibri"/>
                  </w:rPr>
                  <w:t>Commercial General Liability Insurance</w:t>
                </w:r>
              </w:p>
            </w:tc>
          </w:tr>
          <w:tr w:rsidR="00153D45" w:rsidRPr="00153D45" w14:paraId="775E39E7"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4945" w:type="dxa"/>
                <w:tcBorders>
                  <w:top w:val="single" w:sz="4" w:space="0" w:color="auto"/>
                  <w:left w:val="single" w:sz="4" w:space="0" w:color="auto"/>
                  <w:bottom w:val="single" w:sz="4" w:space="0" w:color="auto"/>
                </w:tcBorders>
              </w:tcPr>
              <w:p w14:paraId="77FD6BE6" w14:textId="77777777" w:rsidR="00153D45" w:rsidRPr="00153D45" w:rsidRDefault="00153D45" w:rsidP="00153D45">
                <w:pPr>
                  <w:spacing w:before="120"/>
                  <w:rPr>
                    <w:rFonts w:ascii="Aptos" w:eastAsia="Arial" w:hAnsi="Aptos" w:cs="Calibri"/>
                  </w:rPr>
                </w:pPr>
                <w:r w:rsidRPr="00153D45">
                  <w:rPr>
                    <w:rFonts w:ascii="Aptos" w:eastAsia="Arial" w:hAnsi="Aptos" w:cs="Calibri"/>
                  </w:rPr>
                  <w:t>Minimum Limits:</w:t>
                </w:r>
              </w:p>
              <w:p w14:paraId="50215C9A" w14:textId="77777777" w:rsidR="00153D45" w:rsidRPr="00153D45" w:rsidRDefault="00153D45" w:rsidP="00153D45">
                <w:pPr>
                  <w:tabs>
                    <w:tab w:val="left" w:pos="1170"/>
                  </w:tabs>
                  <w:rPr>
                    <w:rFonts w:ascii="Aptos" w:eastAsia="Arial" w:hAnsi="Aptos" w:cs="Calibri"/>
                  </w:rPr>
                </w:pPr>
                <w:r w:rsidRPr="00153D45">
                  <w:rPr>
                    <w:rFonts w:ascii="Aptos" w:eastAsia="Arial" w:hAnsi="Aptos" w:cs="Calibri"/>
                  </w:rPr>
                  <w:t>$1,000,000 Each Occurrence</w:t>
                </w:r>
              </w:p>
              <w:p w14:paraId="2AEA5823" w14:textId="77777777" w:rsidR="00153D45" w:rsidRPr="00153D45" w:rsidRDefault="00153D45" w:rsidP="00153D45">
                <w:pPr>
                  <w:tabs>
                    <w:tab w:val="left" w:pos="1170"/>
                  </w:tabs>
                  <w:rPr>
                    <w:rFonts w:ascii="Aptos" w:eastAsia="Arial" w:hAnsi="Aptos" w:cs="Calibri"/>
                  </w:rPr>
                </w:pPr>
                <w:r w:rsidRPr="00153D45">
                  <w:rPr>
                    <w:rFonts w:ascii="Aptos" w:eastAsia="Arial" w:hAnsi="Aptos" w:cs="Calibri"/>
                  </w:rPr>
                  <w:t>$1,000,000 Personal &amp; Advertising Injury</w:t>
                </w:r>
              </w:p>
              <w:p w14:paraId="7B440889" w14:textId="77777777" w:rsidR="00153D45" w:rsidRPr="00153D45" w:rsidRDefault="00153D45" w:rsidP="00153D45">
                <w:pPr>
                  <w:tabs>
                    <w:tab w:val="left" w:pos="1170"/>
                  </w:tabs>
                  <w:rPr>
                    <w:rFonts w:ascii="Aptos" w:eastAsia="Arial" w:hAnsi="Aptos" w:cs="Calibri"/>
                  </w:rPr>
                </w:pPr>
                <w:r w:rsidRPr="00153D45">
                  <w:rPr>
                    <w:rFonts w:ascii="Aptos" w:eastAsia="Arial" w:hAnsi="Aptos" w:cs="Calibri"/>
                  </w:rPr>
                  <w:t>$2,000,000 Products/Completed Operations</w:t>
                </w:r>
              </w:p>
              <w:p w14:paraId="7C085718" w14:textId="77777777" w:rsidR="00153D45" w:rsidRPr="00153D45" w:rsidRDefault="00153D45" w:rsidP="00153D45">
                <w:pPr>
                  <w:rPr>
                    <w:rFonts w:ascii="Aptos" w:eastAsia="Arial" w:hAnsi="Aptos" w:cs="Calibri"/>
                  </w:rPr>
                </w:pPr>
                <w:r w:rsidRPr="00153D45">
                  <w:rPr>
                    <w:rFonts w:ascii="Aptos" w:eastAsia="Arial" w:hAnsi="Aptos" w:cs="Calibri"/>
                  </w:rPr>
                  <w:t>$2,000,000 General Aggregate</w:t>
                </w:r>
              </w:p>
              <w:p w14:paraId="67022023" w14:textId="77777777" w:rsidR="00153D45" w:rsidRPr="00153D45" w:rsidRDefault="00153D45" w:rsidP="00153D45">
                <w:pPr>
                  <w:spacing w:after="120"/>
                  <w:rPr>
                    <w:rFonts w:ascii="Aptos" w:eastAsia="Arial" w:hAnsi="Aptos" w:cs="Calibri"/>
                  </w:rPr>
                </w:pPr>
              </w:p>
            </w:tc>
            <w:tc>
              <w:tcPr>
                <w:tcW w:w="5135" w:type="dxa"/>
                <w:tcBorders>
                  <w:top w:val="single" w:sz="4" w:space="0" w:color="auto"/>
                  <w:left w:val="single" w:sz="4" w:space="0" w:color="auto"/>
                  <w:bottom w:val="single" w:sz="4" w:space="0" w:color="auto"/>
                  <w:right w:val="single" w:sz="4" w:space="0" w:color="auto"/>
                </w:tcBorders>
                <w:hideMark/>
              </w:tcPr>
              <w:p w14:paraId="5797D89F" w14:textId="77777777" w:rsidR="00153D45" w:rsidRPr="00153D45" w:rsidRDefault="00153D45" w:rsidP="00153D45">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Calibri"/>
                    <w:b/>
                    <w:bCs/>
                  </w:rPr>
                </w:pPr>
                <w:r w:rsidRPr="00153D45">
                  <w:rPr>
                    <w:rFonts w:ascii="Aptos" w:eastAsia="Arial" w:hAnsi="Aptos" w:cs="Calibri"/>
                  </w:rPr>
                  <w:t>Contractor must have their policy endorsed to add “the State of Michigan, its departments, divisions, agencies, offices, commissions, officers, employees, and agents” as additional insureds using endorsement CG 20 10 11 85, or both CG 20 10 12 19 and CG 20 37 12 19.</w:t>
                </w:r>
              </w:p>
            </w:tc>
          </w:tr>
          <w:tr w:rsidR="00153D45" w:rsidRPr="00153D45" w14:paraId="5CF2DD3B" w14:textId="77777777" w:rsidTr="007F39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74E05391" w14:textId="77777777" w:rsidR="00153D45" w:rsidRPr="00153D45" w:rsidRDefault="00153D45" w:rsidP="00153D45">
                <w:pPr>
                  <w:spacing w:before="60" w:after="60"/>
                  <w:jc w:val="center"/>
                  <w:rPr>
                    <w:rFonts w:ascii="Aptos" w:eastAsia="Arial" w:hAnsi="Aptos" w:cs="Calibri"/>
                  </w:rPr>
                </w:pPr>
                <w:r w:rsidRPr="00153D45">
                  <w:rPr>
                    <w:rFonts w:ascii="Aptos" w:eastAsia="Arial" w:hAnsi="Aptos" w:cs="Calibri"/>
                  </w:rPr>
                  <w:t>Automobile Liability Insurance</w:t>
                </w:r>
              </w:p>
            </w:tc>
          </w:tr>
          <w:tr w:rsidR="00153D45" w:rsidRPr="00153D45" w14:paraId="581F3E2F"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6C1E0E80" w14:textId="77777777" w:rsidR="00153D45" w:rsidRPr="00153D45" w:rsidRDefault="00153D45" w:rsidP="00153D45">
                <w:pPr>
                  <w:spacing w:before="60" w:after="60"/>
                  <w:rPr>
                    <w:rFonts w:ascii="Aptos" w:eastAsia="Arial" w:hAnsi="Aptos" w:cs="Calibri"/>
                  </w:rPr>
                </w:pPr>
                <w:r w:rsidRPr="00153D45">
                  <w:rPr>
                    <w:rFonts w:ascii="Aptos" w:eastAsia="Arial" w:hAnsi="Aptos" w:cs="Calibri"/>
                  </w:rPr>
                  <w:t>If a motor vehicle is used in relation to the Contractor's performance, the Contractor must have vehicle liability insurance on the motor vehicle for bodily injury and property damage as required by law.</w:t>
                </w:r>
              </w:p>
            </w:tc>
          </w:tr>
          <w:tr w:rsidR="00153D45" w:rsidRPr="00153D45" w14:paraId="687865B6" w14:textId="77777777" w:rsidTr="007F39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41A16A50" w14:textId="77777777" w:rsidR="00153D45" w:rsidRPr="00153D45" w:rsidRDefault="00153D45" w:rsidP="00153D45">
                <w:pPr>
                  <w:keepNext/>
                  <w:keepLines/>
                  <w:spacing w:before="60" w:after="60"/>
                  <w:jc w:val="center"/>
                  <w:rPr>
                    <w:rFonts w:ascii="Aptos" w:eastAsia="Arial" w:hAnsi="Aptos" w:cs="Calibri"/>
                  </w:rPr>
                </w:pPr>
                <w:r w:rsidRPr="00153D45">
                  <w:rPr>
                    <w:rFonts w:ascii="Aptos" w:eastAsia="Arial" w:hAnsi="Aptos" w:cs="Calibri"/>
                  </w:rPr>
                  <w:t>Workers' Compensation Insurance</w:t>
                </w:r>
              </w:p>
            </w:tc>
          </w:tr>
          <w:tr w:rsidR="00153D45" w:rsidRPr="00153D45" w14:paraId="7C29B062"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4945" w:type="dxa"/>
                <w:tcBorders>
                  <w:left w:val="single" w:sz="4" w:space="0" w:color="auto"/>
                </w:tcBorders>
                <w:hideMark/>
              </w:tcPr>
              <w:p w14:paraId="6DE2F179" w14:textId="77777777" w:rsidR="00153D45" w:rsidRPr="00153D45" w:rsidRDefault="00153D45" w:rsidP="00153D45">
                <w:pPr>
                  <w:keepNext/>
                  <w:keepLines/>
                  <w:spacing w:before="60" w:after="60"/>
                  <w:ind w:hanging="30"/>
                  <w:rPr>
                    <w:rFonts w:ascii="Aptos" w:eastAsia="Arial" w:hAnsi="Aptos" w:cs="Calibri"/>
                  </w:rPr>
                </w:pPr>
                <w:r w:rsidRPr="00153D45">
                  <w:rPr>
                    <w:rFonts w:ascii="Aptos" w:eastAsia="Arial" w:hAnsi="Aptos" w:cs="Calibri"/>
                  </w:rPr>
                  <w:t>Minimum Limits:</w:t>
                </w:r>
              </w:p>
              <w:p w14:paraId="3656A08D" w14:textId="77777777" w:rsidR="00153D45" w:rsidRPr="00153D45" w:rsidRDefault="00153D45" w:rsidP="00153D45">
                <w:pPr>
                  <w:keepNext/>
                  <w:keepLines/>
                  <w:spacing w:before="60" w:after="60"/>
                  <w:rPr>
                    <w:rFonts w:ascii="Aptos" w:eastAsia="Arial" w:hAnsi="Aptos" w:cs="Calibri"/>
                  </w:rPr>
                </w:pPr>
                <w:r w:rsidRPr="00153D45">
                  <w:rPr>
                    <w:rFonts w:ascii="Aptos" w:eastAsia="Arial" w:hAnsi="Aptos" w:cs="Calibri"/>
                  </w:rPr>
                  <w:t>Coverage according to applicable laws governing work activities.</w:t>
                </w:r>
              </w:p>
            </w:tc>
            <w:tc>
              <w:tcPr>
                <w:tcW w:w="5135" w:type="dxa"/>
                <w:tcBorders>
                  <w:left w:val="single" w:sz="4" w:space="0" w:color="auto"/>
                  <w:right w:val="single" w:sz="4" w:space="0" w:color="auto"/>
                </w:tcBorders>
                <w:hideMark/>
              </w:tcPr>
              <w:p w14:paraId="345A02C9" w14:textId="77777777" w:rsidR="00153D45" w:rsidRPr="00153D45" w:rsidRDefault="00153D45" w:rsidP="00153D45">
                <w:pPr>
                  <w:spacing w:before="60" w:after="60"/>
                  <w:cnfStyle w:val="000000000000" w:firstRow="0" w:lastRow="0" w:firstColumn="0" w:lastColumn="0" w:oddVBand="0" w:evenVBand="0" w:oddHBand="0" w:evenHBand="0" w:firstRowFirstColumn="0" w:firstRowLastColumn="0" w:lastRowFirstColumn="0" w:lastRowLastColumn="0"/>
                  <w:rPr>
                    <w:rFonts w:ascii="Aptos" w:eastAsia="Arial" w:hAnsi="Aptos" w:cs="Calibri"/>
                  </w:rPr>
                </w:pPr>
                <w:r w:rsidRPr="00153D45">
                  <w:rPr>
                    <w:rFonts w:ascii="Aptos" w:eastAsia="Arial" w:hAnsi="Aptos" w:cs="Calibri"/>
                  </w:rPr>
                  <w:t xml:space="preserve">Waiver of subrogation, except where </w:t>
                </w:r>
                <w:proofErr w:type="gramStart"/>
                <w:r w:rsidRPr="00153D45">
                  <w:rPr>
                    <w:rFonts w:ascii="Aptos" w:eastAsia="Arial" w:hAnsi="Aptos" w:cs="Calibri"/>
                  </w:rPr>
                  <w:t>waiver is</w:t>
                </w:r>
                <w:proofErr w:type="gramEnd"/>
                <w:r w:rsidRPr="00153D45">
                  <w:rPr>
                    <w:rFonts w:ascii="Aptos" w:eastAsia="Arial" w:hAnsi="Aptos" w:cs="Calibri"/>
                  </w:rPr>
                  <w:t xml:space="preserve"> prohibited by law.</w:t>
                </w:r>
              </w:p>
            </w:tc>
          </w:tr>
          <w:tr w:rsidR="00153D45" w:rsidRPr="00153D45" w14:paraId="22AEC14B" w14:textId="77777777" w:rsidTr="007F39C8">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666097DC" w14:textId="77777777" w:rsidR="00153D45" w:rsidRPr="00153D45" w:rsidRDefault="00153D45" w:rsidP="00153D45">
                <w:pPr>
                  <w:keepNext/>
                  <w:keepLines/>
                  <w:spacing w:before="60" w:after="60"/>
                  <w:jc w:val="center"/>
                  <w:rPr>
                    <w:rFonts w:ascii="Aptos" w:eastAsia="Arial" w:hAnsi="Aptos" w:cs="Calibri"/>
                  </w:rPr>
                </w:pPr>
                <w:r w:rsidRPr="00153D45">
                  <w:rPr>
                    <w:rFonts w:ascii="Aptos" w:eastAsia="Arial" w:hAnsi="Aptos" w:cs="Calibri"/>
                  </w:rPr>
                  <w:t>Employers Liability Insurance</w:t>
                </w:r>
              </w:p>
            </w:tc>
          </w:tr>
          <w:tr w:rsidR="00153D45" w:rsidRPr="00153D45" w14:paraId="5CC5019C"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4945" w:type="dxa"/>
                <w:tcBorders>
                  <w:left w:val="single" w:sz="4" w:space="0" w:color="auto"/>
                </w:tcBorders>
                <w:hideMark/>
              </w:tcPr>
              <w:p w14:paraId="253A2314" w14:textId="77777777" w:rsidR="00153D45" w:rsidRPr="00153D45" w:rsidRDefault="00153D45" w:rsidP="00153D45">
                <w:pPr>
                  <w:keepNext/>
                  <w:keepLines/>
                  <w:ind w:hanging="30"/>
                  <w:rPr>
                    <w:rFonts w:ascii="Aptos" w:eastAsia="Arial" w:hAnsi="Aptos" w:cs="Calibri"/>
                  </w:rPr>
                </w:pPr>
                <w:r w:rsidRPr="00153D45">
                  <w:rPr>
                    <w:rFonts w:ascii="Aptos" w:eastAsia="Arial" w:hAnsi="Aptos" w:cs="Calibri"/>
                  </w:rPr>
                  <w:t>Minimum Limits:</w:t>
                </w:r>
              </w:p>
              <w:p w14:paraId="42607F05" w14:textId="77777777" w:rsidR="00153D45" w:rsidRPr="00153D45" w:rsidRDefault="00153D45" w:rsidP="00153D45">
                <w:pPr>
                  <w:keepNext/>
                  <w:keepLines/>
                  <w:tabs>
                    <w:tab w:val="left" w:pos="1170"/>
                  </w:tabs>
                  <w:ind w:hanging="30"/>
                  <w:rPr>
                    <w:rFonts w:ascii="Aptos" w:eastAsia="Arial" w:hAnsi="Aptos" w:cs="Calibri"/>
                  </w:rPr>
                </w:pPr>
                <w:r w:rsidRPr="00153D45">
                  <w:rPr>
                    <w:rFonts w:ascii="Aptos" w:eastAsia="Arial" w:hAnsi="Aptos" w:cs="Calibri"/>
                  </w:rPr>
                  <w:t>$500,000 Each Accident</w:t>
                </w:r>
              </w:p>
              <w:p w14:paraId="0AF5CAF8" w14:textId="77777777" w:rsidR="00153D45" w:rsidRPr="00153D45" w:rsidRDefault="00153D45" w:rsidP="00153D45">
                <w:pPr>
                  <w:keepNext/>
                  <w:keepLines/>
                  <w:tabs>
                    <w:tab w:val="left" w:pos="1170"/>
                  </w:tabs>
                  <w:ind w:hanging="30"/>
                  <w:rPr>
                    <w:rFonts w:ascii="Aptos" w:eastAsia="Arial" w:hAnsi="Aptos" w:cs="Calibri"/>
                  </w:rPr>
                </w:pPr>
                <w:r w:rsidRPr="00153D45">
                  <w:rPr>
                    <w:rFonts w:ascii="Aptos" w:eastAsia="Arial" w:hAnsi="Aptos" w:cs="Calibri"/>
                  </w:rPr>
                  <w:t>$500,000 Each Employee by Disease</w:t>
                </w:r>
              </w:p>
              <w:p w14:paraId="12785201" w14:textId="77777777" w:rsidR="00153D45" w:rsidRPr="00153D45" w:rsidRDefault="00153D45" w:rsidP="00153D45">
                <w:pPr>
                  <w:keepNext/>
                  <w:keepLines/>
                  <w:spacing w:after="120"/>
                  <w:ind w:hanging="30"/>
                  <w:rPr>
                    <w:rFonts w:ascii="Aptos" w:eastAsia="Arial" w:hAnsi="Aptos" w:cs="Calibri"/>
                  </w:rPr>
                </w:pPr>
                <w:r w:rsidRPr="00153D45">
                  <w:rPr>
                    <w:rFonts w:ascii="Aptos" w:eastAsia="Arial" w:hAnsi="Aptos" w:cs="Calibri"/>
                  </w:rPr>
                  <w:t>$500,000 Aggregate Disease</w:t>
                </w:r>
              </w:p>
            </w:tc>
            <w:tc>
              <w:tcPr>
                <w:tcW w:w="5135" w:type="dxa"/>
                <w:tcBorders>
                  <w:left w:val="single" w:sz="4" w:space="0" w:color="auto"/>
                  <w:right w:val="single" w:sz="4" w:space="0" w:color="auto"/>
                </w:tcBorders>
              </w:tcPr>
              <w:p w14:paraId="2CEEB5E6" w14:textId="77777777" w:rsidR="00153D45" w:rsidRPr="00153D45" w:rsidRDefault="00153D45" w:rsidP="00153D45">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Calibri"/>
                  </w:rPr>
                </w:pPr>
              </w:p>
            </w:tc>
          </w:tr>
          <w:tr w:rsidR="00153D45" w:rsidRPr="00153D45" w14:paraId="5FE2E7AA" w14:textId="77777777" w:rsidTr="007F39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0CDB9B56" w14:textId="77777777" w:rsidR="00153D45" w:rsidRPr="00153D45" w:rsidRDefault="00153D45" w:rsidP="00153D45">
                <w:pPr>
                  <w:spacing w:before="60" w:after="60"/>
                  <w:contextualSpacing/>
                  <w:jc w:val="center"/>
                  <w:rPr>
                    <w:rFonts w:ascii="Aptos" w:eastAsia="Arial" w:hAnsi="Aptos" w:cs="Calibri"/>
                  </w:rPr>
                </w:pPr>
                <w:r w:rsidRPr="00153D45">
                  <w:rPr>
                    <w:rFonts w:ascii="Aptos" w:eastAsia="Arial" w:hAnsi="Aptos" w:cs="Calibri"/>
                  </w:rPr>
                  <w:t>Privacy and Security Liability (Cyber Liability) Insurance</w:t>
                </w:r>
              </w:p>
            </w:tc>
          </w:tr>
          <w:tr w:rsidR="00153D45" w:rsidRPr="00153D45" w14:paraId="78908BEA"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4945" w:type="dxa"/>
                <w:tcBorders>
                  <w:left w:val="single" w:sz="4" w:space="0" w:color="auto"/>
                </w:tcBorders>
                <w:hideMark/>
              </w:tcPr>
              <w:p w14:paraId="1EDE5228" w14:textId="77777777" w:rsidR="00153D45" w:rsidRPr="00153D45" w:rsidRDefault="00153D45" w:rsidP="00153D45">
                <w:pPr>
                  <w:spacing w:before="60" w:after="60"/>
                  <w:rPr>
                    <w:rFonts w:ascii="Aptos" w:eastAsia="Arial" w:hAnsi="Aptos" w:cs="Calibri"/>
                  </w:rPr>
                </w:pPr>
                <w:r w:rsidRPr="00153D45">
                  <w:rPr>
                    <w:rFonts w:ascii="Aptos" w:eastAsia="Arial" w:hAnsi="Aptos" w:cs="Calibri"/>
                  </w:rPr>
                  <w:t>Minimum Limits:</w:t>
                </w:r>
              </w:p>
              <w:p w14:paraId="52028380" w14:textId="77777777" w:rsidR="00153D45" w:rsidRPr="00153D45" w:rsidRDefault="00153D45" w:rsidP="00153D45">
                <w:pPr>
                  <w:tabs>
                    <w:tab w:val="left" w:pos="1170"/>
                  </w:tabs>
                  <w:spacing w:before="60" w:after="60"/>
                  <w:rPr>
                    <w:rFonts w:ascii="Aptos" w:eastAsia="Arial" w:hAnsi="Aptos" w:cs="Calibri"/>
                  </w:rPr>
                </w:pPr>
                <w:r w:rsidRPr="00153D45">
                  <w:rPr>
                    <w:rFonts w:ascii="Aptos" w:eastAsia="Arial" w:hAnsi="Aptos" w:cs="Calibri"/>
                  </w:rPr>
                  <w:t xml:space="preserve">$1,000,000 Each Occurrence </w:t>
                </w:r>
              </w:p>
              <w:p w14:paraId="457B9D77" w14:textId="77777777" w:rsidR="00153D45" w:rsidRPr="00153D45" w:rsidRDefault="00153D45" w:rsidP="00153D45">
                <w:pPr>
                  <w:tabs>
                    <w:tab w:val="left" w:pos="1170"/>
                  </w:tabs>
                  <w:spacing w:before="60" w:after="60"/>
                  <w:rPr>
                    <w:rFonts w:ascii="Aptos" w:eastAsia="Arial" w:hAnsi="Aptos" w:cs="Calibri"/>
                  </w:rPr>
                </w:pPr>
                <w:r w:rsidRPr="00153D45">
                  <w:rPr>
                    <w:rFonts w:ascii="Aptos" w:eastAsia="Arial" w:hAnsi="Aptos" w:cs="Calibri"/>
                  </w:rPr>
                  <w:t>$1,000,000 Annual Aggregate</w:t>
                </w:r>
              </w:p>
            </w:tc>
            <w:tc>
              <w:tcPr>
                <w:tcW w:w="5135" w:type="dxa"/>
                <w:tcBorders>
                  <w:left w:val="single" w:sz="4" w:space="0" w:color="auto"/>
                  <w:right w:val="single" w:sz="4" w:space="0" w:color="auto"/>
                </w:tcBorders>
                <w:hideMark/>
              </w:tcPr>
              <w:p w14:paraId="3254C183" w14:textId="77777777" w:rsidR="00153D45" w:rsidRPr="00153D45" w:rsidRDefault="00153D45" w:rsidP="00153D45">
                <w:pPr>
                  <w:spacing w:before="60" w:after="60"/>
                  <w:cnfStyle w:val="000000000000" w:firstRow="0" w:lastRow="0" w:firstColumn="0" w:lastColumn="0" w:oddVBand="0" w:evenVBand="0" w:oddHBand="0" w:evenHBand="0" w:firstRowFirstColumn="0" w:firstRowLastColumn="0" w:lastRowFirstColumn="0" w:lastRowLastColumn="0"/>
                  <w:rPr>
                    <w:rFonts w:ascii="Aptos" w:eastAsia="Arial" w:hAnsi="Aptos" w:cs="Calibri"/>
                  </w:rPr>
                </w:pPr>
                <w:proofErr w:type="gramStart"/>
                <w:r w:rsidRPr="00153D45">
                  <w:rPr>
                    <w:rFonts w:ascii="Aptos" w:eastAsia="Arial" w:hAnsi="Aptos" w:cs="Calibri"/>
                  </w:rPr>
                  <w:t>Contractor</w:t>
                </w:r>
                <w:proofErr w:type="gramEnd"/>
                <w:r w:rsidRPr="00153D45">
                  <w:rPr>
                    <w:rFonts w:ascii="Aptos" w:eastAsia="Arial" w:hAnsi="Aptos" w:cs="Calibri"/>
                  </w:rPr>
                  <w:t xml:space="preserve"> must have their policy cover information security and privacy liability, privacy notification costs, regulatory defense and penalties, and website media content liability.</w:t>
                </w:r>
              </w:p>
            </w:tc>
          </w:tr>
          <w:tr w:rsidR="00153D45" w:rsidRPr="00153D45" w14:paraId="30085D94" w14:textId="77777777" w:rsidTr="007F39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Borders>
                  <w:top w:val="single" w:sz="4" w:space="0" w:color="auto"/>
                  <w:left w:val="single" w:sz="4" w:space="0" w:color="auto"/>
                  <w:bottom w:val="single" w:sz="4" w:space="0" w:color="auto"/>
                  <w:right w:val="single" w:sz="4" w:space="0" w:color="auto"/>
                </w:tcBorders>
                <w:hideMark/>
              </w:tcPr>
              <w:p w14:paraId="5C547B3B" w14:textId="77777777" w:rsidR="00153D45" w:rsidRPr="00153D45" w:rsidRDefault="00153D45" w:rsidP="00153D45">
                <w:pPr>
                  <w:jc w:val="center"/>
                  <w:rPr>
                    <w:rFonts w:ascii="Aptos" w:eastAsia="Arial" w:hAnsi="Aptos" w:cs="Calibri"/>
                  </w:rPr>
                </w:pPr>
                <w:r w:rsidRPr="00153D45">
                  <w:rPr>
                    <w:rFonts w:ascii="Aptos" w:eastAsia="Arial" w:hAnsi="Aptos" w:cs="Calibri"/>
                  </w:rPr>
                  <w:t>Professional Liability (Errors and Omissions) Insurance</w:t>
                </w:r>
              </w:p>
            </w:tc>
          </w:tr>
          <w:tr w:rsidR="00153D45" w:rsidRPr="00153D45" w14:paraId="03031542" w14:textId="77777777" w:rsidTr="007F39C8">
            <w:trPr>
              <w:jc w:val="center"/>
            </w:trPr>
            <w:tc>
              <w:tcPr>
                <w:cnfStyle w:val="001000000000" w:firstRow="0" w:lastRow="0" w:firstColumn="1" w:lastColumn="0" w:oddVBand="0" w:evenVBand="0" w:oddHBand="0" w:evenHBand="0" w:firstRowFirstColumn="0" w:firstRowLastColumn="0" w:lastRowFirstColumn="0" w:lastRowLastColumn="0"/>
                <w:tcW w:w="4945" w:type="dxa"/>
                <w:tcBorders>
                  <w:left w:val="single" w:sz="4" w:space="0" w:color="auto"/>
                </w:tcBorders>
              </w:tcPr>
              <w:p w14:paraId="4BFAB3C2" w14:textId="77777777" w:rsidR="00153D45" w:rsidRPr="00153D45" w:rsidRDefault="00153D45" w:rsidP="00153D45">
                <w:pPr>
                  <w:spacing w:before="60" w:after="60"/>
                  <w:rPr>
                    <w:rFonts w:ascii="Aptos" w:eastAsia="Arial" w:hAnsi="Aptos" w:cs="Calibri"/>
                  </w:rPr>
                </w:pPr>
                <w:r w:rsidRPr="00153D45">
                  <w:rPr>
                    <w:rFonts w:ascii="Aptos" w:eastAsia="Arial" w:hAnsi="Aptos" w:cs="Calibri"/>
                  </w:rPr>
                  <w:t>Minimum Limits:</w:t>
                </w:r>
              </w:p>
              <w:p w14:paraId="6BCEEDC5" w14:textId="77777777" w:rsidR="00153D45" w:rsidRPr="00153D45" w:rsidRDefault="00153D45" w:rsidP="00153D45">
                <w:pPr>
                  <w:spacing w:before="60" w:after="60"/>
                  <w:rPr>
                    <w:rFonts w:ascii="Aptos" w:eastAsia="Arial" w:hAnsi="Aptos" w:cs="Calibri"/>
                  </w:rPr>
                </w:pPr>
                <w:r w:rsidRPr="00153D45">
                  <w:rPr>
                    <w:rFonts w:ascii="Aptos" w:eastAsia="Arial" w:hAnsi="Aptos" w:cs="Calibri"/>
                  </w:rPr>
                  <w:lastRenderedPageBreak/>
                  <w:t xml:space="preserve">$1,000,000 Each Occurrence </w:t>
                </w:r>
              </w:p>
              <w:p w14:paraId="7C8485AA" w14:textId="77777777" w:rsidR="00153D45" w:rsidRPr="00153D45" w:rsidRDefault="00153D45" w:rsidP="00153D45">
                <w:pPr>
                  <w:spacing w:before="60" w:after="60"/>
                  <w:rPr>
                    <w:rFonts w:ascii="Aptos" w:eastAsia="Arial" w:hAnsi="Aptos" w:cs="Calibri"/>
                  </w:rPr>
                </w:pPr>
                <w:r w:rsidRPr="00153D45">
                  <w:rPr>
                    <w:rFonts w:ascii="Aptos" w:eastAsia="Arial" w:hAnsi="Aptos" w:cs="Calibri"/>
                  </w:rPr>
                  <w:t>$1,000,000 Annual Aggregate</w:t>
                </w:r>
              </w:p>
            </w:tc>
            <w:tc>
              <w:tcPr>
                <w:tcW w:w="5135" w:type="dxa"/>
                <w:tcBorders>
                  <w:left w:val="single" w:sz="4" w:space="0" w:color="auto"/>
                  <w:right w:val="single" w:sz="4" w:space="0" w:color="auto"/>
                </w:tcBorders>
              </w:tcPr>
              <w:p w14:paraId="0308C891" w14:textId="77777777" w:rsidR="00153D45" w:rsidRPr="00153D45" w:rsidRDefault="00153D45" w:rsidP="00153D45">
                <w:pPr>
                  <w:spacing w:before="60" w:after="60"/>
                  <w:cnfStyle w:val="000000000000" w:firstRow="0" w:lastRow="0" w:firstColumn="0" w:lastColumn="0" w:oddVBand="0" w:evenVBand="0" w:oddHBand="0" w:evenHBand="0" w:firstRowFirstColumn="0" w:firstRowLastColumn="0" w:lastRowFirstColumn="0" w:lastRowLastColumn="0"/>
                  <w:rPr>
                    <w:rFonts w:ascii="Aptos" w:hAnsi="Aptos" w:cs="Calibri"/>
                    <w:b/>
                  </w:rPr>
                </w:pPr>
              </w:p>
            </w:tc>
          </w:tr>
        </w:tbl>
        <w:p w14:paraId="28532965" w14:textId="77777777" w:rsidR="00153D45" w:rsidRPr="00153D45" w:rsidRDefault="00153D45" w:rsidP="00153D45">
          <w:pPr>
            <w:numPr>
              <w:ilvl w:val="0"/>
              <w:numId w:val="3"/>
            </w:numPr>
            <w:spacing w:before="120" w:after="120" w:line="300" w:lineRule="atLeast"/>
            <w:rPr>
              <w:rFonts w:ascii="Aptos" w:eastAsia="Arial" w:hAnsi="Aptos" w:cs="Calibri"/>
              <w:kern w:val="0"/>
              <w14:ligatures w14:val="none"/>
            </w:rPr>
          </w:pPr>
          <w:r w:rsidRPr="00153D45">
            <w:rPr>
              <w:rFonts w:ascii="Aptos" w:eastAsia="Arial" w:hAnsi="Aptos" w:cs="Calibri"/>
              <w:b/>
              <w:bCs/>
              <w:kern w:val="0"/>
              <w14:ligatures w14:val="none"/>
            </w:rPr>
            <w:t>Notice of Non-Compliance.</w:t>
          </w:r>
          <w:r w:rsidRPr="00153D45">
            <w:rPr>
              <w:rFonts w:ascii="Aptos" w:eastAsia="Arial" w:hAnsi="Aptos" w:cs="Calibri"/>
              <w:kern w:val="0"/>
              <w14:ligatures w14:val="none"/>
            </w:rPr>
            <w:t xml:space="preserve"> Contractor consents to receiving electronic communications from a third-party service provider, Origami Risk, for the exclusive purpose of notifying Contractor of non-compliance with the requirements set forth in this Schedule C.</w:t>
          </w:r>
        </w:p>
        <w:p w14:paraId="1967DCCF" w14:textId="77777777" w:rsidR="00153D45" w:rsidRPr="00153D45" w:rsidRDefault="00153D45" w:rsidP="00153D45">
          <w:pPr>
            <w:numPr>
              <w:ilvl w:val="0"/>
              <w:numId w:val="3"/>
            </w:numPr>
            <w:spacing w:before="120" w:after="120" w:line="300" w:lineRule="atLeast"/>
            <w:rPr>
              <w:rFonts w:ascii="Aptos" w:eastAsia="Arial" w:hAnsi="Aptos" w:cs="Calibri"/>
              <w:kern w:val="0"/>
              <w14:ligatures w14:val="none"/>
            </w:rPr>
          </w:pPr>
          <w:r w:rsidRPr="00153D45">
            <w:rPr>
              <w:rFonts w:ascii="Aptos" w:eastAsia="Arial" w:hAnsi="Aptos" w:cs="Calibri"/>
              <w:b/>
              <w:bCs/>
              <w:kern w:val="0"/>
              <w14:ligatures w14:val="none"/>
            </w:rPr>
            <w:t xml:space="preserve">Non-Waiver. </w:t>
          </w:r>
          <w:r w:rsidRPr="00153D45">
            <w:rPr>
              <w:rFonts w:ascii="Aptos" w:eastAsia="Arial" w:hAnsi="Aptos" w:cs="Calibri"/>
              <w:kern w:val="0"/>
              <w14:ligatures w14:val="none"/>
            </w:rPr>
            <w:t>This Schedule C is not intended to and is not to be construed in any manner as waiving, restricting or limiting the liability of either party for any obligations under this Contract, including any provisions hereof requiring Contractor to indemnify, defend and hold harmless the State.</w:t>
          </w:r>
        </w:p>
      </w:sdtContent>
    </w:sdt>
    <w:p w14:paraId="230C9532" w14:textId="4B0A84B1" w:rsidR="006C7D99" w:rsidRPr="00153D45" w:rsidRDefault="006C7D99">
      <w:pPr>
        <w:rPr>
          <w:rFonts w:ascii="Aptos" w:eastAsia="Aptos" w:hAnsi="Aptos" w:cs="Times New Roman"/>
        </w:rPr>
      </w:pPr>
    </w:p>
    <w:sectPr w:rsidR="006C7D99" w:rsidRPr="00153D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64AF" w14:textId="77777777" w:rsidR="009F7957" w:rsidRDefault="009F7957" w:rsidP="009F7957">
      <w:pPr>
        <w:spacing w:after="0" w:line="240" w:lineRule="auto"/>
      </w:pPr>
      <w:r>
        <w:separator/>
      </w:r>
    </w:p>
  </w:endnote>
  <w:endnote w:type="continuationSeparator" w:id="0">
    <w:p w14:paraId="61DDE001" w14:textId="77777777" w:rsidR="009F7957" w:rsidRDefault="009F7957" w:rsidP="009F7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1B46" w14:textId="77777777" w:rsidR="009F7957" w:rsidRDefault="009F7957" w:rsidP="009F7957">
      <w:pPr>
        <w:spacing w:after="0" w:line="240" w:lineRule="auto"/>
      </w:pPr>
      <w:r>
        <w:separator/>
      </w:r>
    </w:p>
  </w:footnote>
  <w:footnote w:type="continuationSeparator" w:id="0">
    <w:p w14:paraId="06FB888E" w14:textId="77777777" w:rsidR="009F7957" w:rsidRDefault="009F7957" w:rsidP="009F7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A65" w14:textId="77777777" w:rsidR="00153D45" w:rsidRDefault="00153D45" w:rsidP="00153D45">
    <w:pPr>
      <w:spacing w:after="0"/>
      <w:jc w:val="right"/>
      <w:rPr>
        <w:rFonts w:ascii="Segoe UI Semibold" w:hAnsi="Segoe UI Semibold" w:cs="Segoe UI Semibold"/>
        <w:bCs/>
        <w:noProof/>
        <w:color w:val="00558C"/>
        <w:sz w:val="16"/>
        <w:szCs w:val="16"/>
      </w:rPr>
    </w:pPr>
    <w:bookmarkStart w:id="3" w:name="_Hlk220394822"/>
    <w:bookmarkStart w:id="4" w:name="_Hlk220394823"/>
    <w:bookmarkStart w:id="5" w:name="_Hlk220398912"/>
    <w:bookmarkStart w:id="6" w:name="_Hlk220398913"/>
    <w:bookmarkStart w:id="7" w:name="_Hlk220399025"/>
    <w:bookmarkStart w:id="8" w:name="_Hlk220399026"/>
    <w:bookmarkStart w:id="9" w:name="_Hlk220399705"/>
    <w:bookmarkStart w:id="10" w:name="_Hlk220399706"/>
    <w:bookmarkStart w:id="11" w:name="_Hlk220399884"/>
    <w:bookmarkStart w:id="12" w:name="_Hlk220399885"/>
    <w:bookmarkStart w:id="13" w:name="_Hlk220399970"/>
    <w:bookmarkStart w:id="14" w:name="_Hlk220399971"/>
    <w:bookmarkStart w:id="15" w:name="_Hlk220399972"/>
    <w:bookmarkStart w:id="16" w:name="_Hlk220399973"/>
    <w:bookmarkStart w:id="17" w:name="_Hlk220399974"/>
    <w:bookmarkStart w:id="18" w:name="_Hlk220399975"/>
    <w:r>
      <w:rPr>
        <w:noProof/>
      </w:rPr>
      <w:drawing>
        <wp:inline distT="0" distB="0" distL="0" distR="0" wp14:anchorId="667BB445" wp14:editId="32BFB62D">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2D11418F" w14:textId="1BE32A23" w:rsidR="009F7957" w:rsidRDefault="00153D45" w:rsidP="00153D45">
    <w:pPr>
      <w:spacing w:after="240"/>
      <w:jc w:val="right"/>
    </w:pPr>
    <w:r w:rsidRPr="00507F77">
      <w:rPr>
        <w:rFonts w:ascii="Segoe UI Semibold" w:hAnsi="Segoe UI Semibold" w:cs="Segoe UI Semibold"/>
        <w:bCs/>
        <w:noProof/>
        <w:color w:val="00558C"/>
        <w:sz w:val="16"/>
        <w:szCs w:val="16"/>
      </w:rPr>
      <w:t>Michigan.gov/MiProcurement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EEB1F96"/>
    <w:multiLevelType w:val="hybridMultilevel"/>
    <w:tmpl w:val="47CCC322"/>
    <w:lvl w:ilvl="0" w:tplc="6DF600F8">
      <w:start w:val="1"/>
      <w:numFmt w:val="decimal"/>
      <w:lvlText w:val="%1."/>
      <w:lvlJc w:val="left"/>
      <w:pPr>
        <w:ind w:left="720" w:hanging="360"/>
      </w:pPr>
      <w:rPr>
        <w:b/>
        <w:bCs/>
        <w:sz w:val="22"/>
        <w:szCs w:val="22"/>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2"/>
  </w:num>
  <w:num w:numId="2" w16cid:durableId="1843668363">
    <w:abstractNumId w:val="0"/>
  </w:num>
  <w:num w:numId="3" w16cid:durableId="27317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57"/>
    <w:rsid w:val="00153D45"/>
    <w:rsid w:val="001850D9"/>
    <w:rsid w:val="00404DF3"/>
    <w:rsid w:val="00405BCB"/>
    <w:rsid w:val="00424234"/>
    <w:rsid w:val="006C7D99"/>
    <w:rsid w:val="009C1AB9"/>
    <w:rsid w:val="009F7957"/>
    <w:rsid w:val="00C97D80"/>
    <w:rsid w:val="00D54E5C"/>
    <w:rsid w:val="00E51BA1"/>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230E"/>
  <w15:chartTrackingRefBased/>
  <w15:docId w15:val="{FAD742CF-0BB9-447F-A215-9C5F35F1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9F7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957"/>
    <w:rPr>
      <w:rFonts w:eastAsiaTheme="majorEastAsia" w:cstheme="majorBidi"/>
      <w:color w:val="272727" w:themeColor="text1" w:themeTint="D8"/>
    </w:rPr>
  </w:style>
  <w:style w:type="paragraph" w:styleId="Title">
    <w:name w:val="Title"/>
    <w:basedOn w:val="Normal"/>
    <w:next w:val="Normal"/>
    <w:link w:val="TitleChar"/>
    <w:uiPriority w:val="10"/>
    <w:qFormat/>
    <w:rsid w:val="009F7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957"/>
    <w:pPr>
      <w:spacing w:before="160"/>
      <w:jc w:val="center"/>
    </w:pPr>
    <w:rPr>
      <w:i/>
      <w:iCs/>
      <w:color w:val="404040" w:themeColor="text1" w:themeTint="BF"/>
    </w:rPr>
  </w:style>
  <w:style w:type="character" w:customStyle="1" w:styleId="QuoteChar">
    <w:name w:val="Quote Char"/>
    <w:basedOn w:val="DefaultParagraphFont"/>
    <w:link w:val="Quote"/>
    <w:uiPriority w:val="29"/>
    <w:rsid w:val="009F7957"/>
    <w:rPr>
      <w:i/>
      <w:iCs/>
      <w:color w:val="404040" w:themeColor="text1" w:themeTint="BF"/>
    </w:rPr>
  </w:style>
  <w:style w:type="paragraph" w:styleId="ListParagraph">
    <w:name w:val="List Paragraph"/>
    <w:basedOn w:val="Normal"/>
    <w:uiPriority w:val="34"/>
    <w:qFormat/>
    <w:rsid w:val="009F7957"/>
    <w:pPr>
      <w:ind w:left="720"/>
      <w:contextualSpacing/>
    </w:pPr>
  </w:style>
  <w:style w:type="character" w:styleId="IntenseEmphasis">
    <w:name w:val="Intense Emphasis"/>
    <w:basedOn w:val="DefaultParagraphFont"/>
    <w:uiPriority w:val="21"/>
    <w:qFormat/>
    <w:rsid w:val="009F7957"/>
    <w:rPr>
      <w:i/>
      <w:iCs/>
      <w:color w:val="0F4761" w:themeColor="accent1" w:themeShade="BF"/>
    </w:rPr>
  </w:style>
  <w:style w:type="paragraph" w:styleId="IntenseQuote">
    <w:name w:val="Intense Quote"/>
    <w:basedOn w:val="Normal"/>
    <w:next w:val="Normal"/>
    <w:link w:val="IntenseQuoteChar"/>
    <w:uiPriority w:val="30"/>
    <w:qFormat/>
    <w:rsid w:val="009F7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957"/>
    <w:rPr>
      <w:i/>
      <w:iCs/>
      <w:color w:val="0F4761" w:themeColor="accent1" w:themeShade="BF"/>
    </w:rPr>
  </w:style>
  <w:style w:type="character" w:styleId="IntenseReference">
    <w:name w:val="Intense Reference"/>
    <w:basedOn w:val="DefaultParagraphFont"/>
    <w:uiPriority w:val="32"/>
    <w:qFormat/>
    <w:rsid w:val="009F7957"/>
    <w:rPr>
      <w:b/>
      <w:bCs/>
      <w:smallCaps/>
      <w:color w:val="0F4761" w:themeColor="accent1" w:themeShade="BF"/>
      <w:spacing w:val="5"/>
    </w:rPr>
  </w:style>
  <w:style w:type="table" w:customStyle="1" w:styleId="ListTable32">
    <w:name w:val="List Table 32"/>
    <w:basedOn w:val="TableNormal"/>
    <w:next w:val="ListTable3"/>
    <w:uiPriority w:val="48"/>
    <w:rsid w:val="00153D45"/>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153D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153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45"/>
  </w:style>
  <w:style w:type="paragraph" w:styleId="Footer">
    <w:name w:val="footer"/>
    <w:basedOn w:val="Normal"/>
    <w:link w:val="FooterChar"/>
    <w:uiPriority w:val="99"/>
    <w:unhideWhenUsed/>
    <w:rsid w:val="0015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TMB-RiskManagement@michiga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DTMB-RiskManagement@michigan.gov"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529FE89F74F4893C5E695403ED4EA"/>
        <w:category>
          <w:name w:val="General"/>
          <w:gallery w:val="placeholder"/>
        </w:category>
        <w:types>
          <w:type w:val="bbPlcHdr"/>
        </w:types>
        <w:behaviors>
          <w:behavior w:val="content"/>
        </w:behaviors>
        <w:guid w:val="{24862662-15AD-4F3F-B56C-02697606FBDA}"/>
      </w:docPartPr>
      <w:docPartBody>
        <w:p w:rsidR="00276442" w:rsidRDefault="00276442" w:rsidP="00276442">
          <w:pPr>
            <w:pStyle w:val="758529FE89F74F4893C5E695403ED4EA"/>
          </w:pPr>
          <w:r w:rsidRPr="0011089C">
            <w:rPr>
              <w:highlight w:val="green"/>
            </w:rPr>
            <w:t xml:space="preserve">Contact DTMB Enterprise Risk Management at </w:t>
          </w:r>
          <w:hyperlink r:id="rId4" w:tgtFrame="_blank" w:history="1">
            <w:r w:rsidRPr="0011089C">
              <w:rPr>
                <w:rStyle w:val="Hyperlink"/>
                <w:i/>
                <w:iCs/>
                <w:highlight w:val="green"/>
              </w:rPr>
              <w:t>DTMB-RiskManagement@michigan.gov</w:t>
            </w:r>
          </w:hyperlink>
          <w:r w:rsidRPr="0011089C">
            <w:rPr>
              <w:highlight w:val="green"/>
            </w:rPr>
            <w:t xml:space="preserve"> for insurance requirements and Schedule C language.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42"/>
    <w:rsid w:val="00276442"/>
    <w:rsid w:val="00E51BA1"/>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442"/>
    <w:rPr>
      <w:color w:val="808080"/>
    </w:rPr>
  </w:style>
  <w:style w:type="character" w:styleId="Hyperlink">
    <w:name w:val="Hyperlink"/>
    <w:aliases w:val="DFS Hyperlink"/>
    <w:basedOn w:val="DefaultParagraphFont"/>
    <w:uiPriority w:val="99"/>
    <w:unhideWhenUsed/>
    <w:rsid w:val="00276442"/>
    <w:rPr>
      <w:color w:val="467886" w:themeColor="hyperlink"/>
      <w:u w:val="single"/>
    </w:rPr>
  </w:style>
  <w:style w:type="paragraph" w:customStyle="1" w:styleId="758529FE89F74F4893C5E695403ED4EA">
    <w:name w:val="758529FE89F74F4893C5E695403ED4EA"/>
    <w:rsid w:val="00276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4232</Characters>
  <Application>Microsoft Office Word</Application>
  <DocSecurity>0</DocSecurity>
  <Lines>302</Lines>
  <Paragraphs>142</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3</cp:revision>
  <dcterms:created xsi:type="dcterms:W3CDTF">2026-01-27T14:59:00Z</dcterms:created>
  <dcterms:modified xsi:type="dcterms:W3CDTF">2026-03-04T16:29:00Z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2026-01-27T14:51:53Z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e88f4565-d7e6-4c87-b9be-734ce311f18d</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